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20D" w:rsidRPr="00177CF1" w:rsidRDefault="00E4420D" w:rsidP="00E4420D">
      <w:pPr>
        <w:spacing w:after="0"/>
        <w:rPr>
          <w:bCs/>
        </w:rPr>
      </w:pPr>
      <w:r w:rsidRPr="0071097B">
        <w:rPr>
          <w:b/>
          <w:bCs/>
          <w:sz w:val="28"/>
          <w:szCs w:val="28"/>
        </w:rPr>
        <w:t>Application</w:t>
      </w:r>
      <w:r>
        <w:rPr>
          <w:b/>
          <w:bCs/>
          <w:sz w:val="28"/>
          <w:szCs w:val="28"/>
        </w:rPr>
        <w:t xml:space="preserve"> (30 points)</w:t>
      </w:r>
      <w:r w:rsidRPr="0071097B">
        <w:rPr>
          <w:b/>
          <w:bCs/>
          <w:sz w:val="28"/>
          <w:szCs w:val="28"/>
        </w:rPr>
        <w:t>:</w:t>
      </w:r>
    </w:p>
    <w:p w:rsidR="00E4420D" w:rsidRPr="00724F0D" w:rsidRDefault="00E4420D" w:rsidP="00E4420D">
      <w:pPr>
        <w:spacing w:after="0"/>
      </w:pPr>
      <w:r w:rsidRPr="00724F0D">
        <w:t>The health information management team at Anywhere University Hospital (AUH) contracted with an auditing firm to perform full assessment coding review. The results from this baseline assessme</w:t>
      </w:r>
      <w:r>
        <w:t>nt are provided in four tables:</w:t>
      </w:r>
    </w:p>
    <w:p w:rsidR="00E4420D" w:rsidRPr="00724F0D" w:rsidRDefault="00E4420D" w:rsidP="00E4420D">
      <w:pPr>
        <w:numPr>
          <w:ilvl w:val="0"/>
          <w:numId w:val="1"/>
        </w:numPr>
        <w:spacing w:after="0" w:line="240" w:lineRule="auto"/>
      </w:pPr>
      <w:r w:rsidRPr="00724F0D">
        <w:t>Variation Log by Type of Error</w:t>
      </w:r>
    </w:p>
    <w:p w:rsidR="00E4420D" w:rsidRPr="00724F0D" w:rsidRDefault="00E4420D" w:rsidP="00E4420D">
      <w:pPr>
        <w:numPr>
          <w:ilvl w:val="0"/>
          <w:numId w:val="1"/>
        </w:numPr>
        <w:spacing w:after="0" w:line="240" w:lineRule="auto"/>
      </w:pPr>
      <w:r w:rsidRPr="00724F0D">
        <w:t>Variation Log by Coder</w:t>
      </w:r>
    </w:p>
    <w:p w:rsidR="00E4420D" w:rsidRPr="00724F0D" w:rsidRDefault="00E4420D" w:rsidP="00E4420D">
      <w:pPr>
        <w:numPr>
          <w:ilvl w:val="0"/>
          <w:numId w:val="1"/>
        </w:numPr>
        <w:spacing w:after="0" w:line="240" w:lineRule="auto"/>
      </w:pPr>
      <w:r w:rsidRPr="00724F0D">
        <w:rPr>
          <w:bCs/>
          <w:color w:val="000000"/>
        </w:rPr>
        <w:t>Variation Log by MS-DRG</w:t>
      </w:r>
    </w:p>
    <w:p w:rsidR="00E4420D" w:rsidRDefault="00E4420D" w:rsidP="00E4420D">
      <w:pPr>
        <w:numPr>
          <w:ilvl w:val="0"/>
          <w:numId w:val="1"/>
        </w:numPr>
        <w:spacing w:after="0" w:line="240" w:lineRule="auto"/>
      </w:pPr>
      <w:r w:rsidRPr="00724F0D">
        <w:rPr>
          <w:bCs/>
          <w:color w:val="000000"/>
        </w:rPr>
        <w:t>MS-DRG Relationship Assessment</w:t>
      </w:r>
    </w:p>
    <w:p w:rsidR="00E4420D" w:rsidRPr="00724F0D" w:rsidRDefault="00E4420D" w:rsidP="00E4420D">
      <w:pPr>
        <w:spacing w:after="0" w:line="240" w:lineRule="auto"/>
        <w:ind w:left="720"/>
      </w:pPr>
    </w:p>
    <w:p w:rsidR="00E4420D" w:rsidRPr="00724F0D" w:rsidRDefault="00E4420D" w:rsidP="00E4420D">
      <w:r w:rsidRPr="00724F0D">
        <w:t xml:space="preserve">You are the inpatient coding manager at AUH. Your director has asked you to </w:t>
      </w:r>
      <w:r w:rsidRPr="00BE398E">
        <w:rPr>
          <w:b/>
          <w:u w:val="single"/>
        </w:rPr>
        <w:t>develop an ongoing review and monitoring schedule for the next year based on the results from the outside review.</w:t>
      </w:r>
    </w:p>
    <w:p w:rsidR="00E4420D" w:rsidRDefault="00E4420D" w:rsidP="00E4420D">
      <w:pPr>
        <w:spacing w:after="0" w:line="240" w:lineRule="auto"/>
      </w:pPr>
      <w:r w:rsidRPr="00724F0D">
        <w:t>Include internal and external reviews, coding in-services, physician workshops, and external seminars/educational sessions that will be performed and or provided for your staff. The schedule should be specific (include volumes and/or percentages of charts to be reviewed). Keep in mind that on average it takes 18 minutes to review one inpatient chart. Budget provides for $15,000 for external reviews. The average cost for reviewing one inpatient record by an external review team is $</w:t>
      </w:r>
      <w:r>
        <w:t xml:space="preserve">55.00 (fully loaded). </w:t>
      </w:r>
    </w:p>
    <w:p w:rsidR="00E4420D" w:rsidRPr="00575416" w:rsidRDefault="00E4420D" w:rsidP="00E4420D">
      <w:pPr>
        <w:spacing w:after="0" w:line="240" w:lineRule="auto"/>
        <w:rPr>
          <w:rFonts w:eastAsia="Times New Roman" w:cs="Times New Roman"/>
          <w:color w:val="FF0000"/>
        </w:rPr>
      </w:pPr>
    </w:p>
    <w:p w:rsidR="00E4420D" w:rsidRDefault="00E4420D" w:rsidP="00E4420D">
      <w:pPr>
        <w:spacing w:after="0"/>
        <w:rPr>
          <w:rFonts w:cs="Helvetica"/>
          <w:b/>
          <w:color w:val="333333"/>
          <w:u w:val="single"/>
          <w:lang w:val="en"/>
        </w:rPr>
      </w:pPr>
      <w:r w:rsidRPr="00575416">
        <w:rPr>
          <w:rFonts w:cs="Helvetica"/>
          <w:b/>
          <w:color w:val="333333"/>
          <w:u w:val="single"/>
          <w:lang w:val="en"/>
        </w:rPr>
        <w:t>There are 3 primary components I'm l</w:t>
      </w:r>
      <w:r>
        <w:rPr>
          <w:rFonts w:cs="Helvetica"/>
          <w:b/>
          <w:color w:val="333333"/>
          <w:u w:val="single"/>
          <w:lang w:val="en"/>
        </w:rPr>
        <w:t xml:space="preserve">ooking for in your </w:t>
      </w:r>
      <w:r w:rsidRPr="00575416">
        <w:rPr>
          <w:rFonts w:cs="Helvetica"/>
          <w:b/>
          <w:color w:val="333333"/>
          <w:u w:val="single"/>
          <w:lang w:val="en"/>
        </w:rPr>
        <w:t xml:space="preserve">response. </w:t>
      </w:r>
    </w:p>
    <w:p w:rsidR="00E4420D" w:rsidRPr="00575416" w:rsidRDefault="00E4420D" w:rsidP="00E4420D">
      <w:pPr>
        <w:spacing w:after="0"/>
        <w:rPr>
          <w:rFonts w:cs="Helvetica"/>
          <w:b/>
          <w:color w:val="333333"/>
          <w:u w:val="single"/>
          <w:lang w:val="en"/>
        </w:rPr>
      </w:pPr>
    </w:p>
    <w:p w:rsidR="00E4420D" w:rsidRPr="00575416" w:rsidRDefault="00E4420D" w:rsidP="00E4420D">
      <w:pPr>
        <w:pStyle w:val="ListParagraph"/>
        <w:numPr>
          <w:ilvl w:val="0"/>
          <w:numId w:val="2"/>
        </w:numPr>
        <w:spacing w:after="0"/>
        <w:ind w:left="360"/>
        <w:rPr>
          <w:rFonts w:cs="Helvetica"/>
          <w:color w:val="333333"/>
          <w:lang w:val="en"/>
        </w:rPr>
      </w:pPr>
      <w:r w:rsidRPr="00575416">
        <w:rPr>
          <w:rFonts w:cs="Helvetica"/>
          <w:color w:val="333333"/>
          <w:lang w:val="en"/>
        </w:rPr>
        <w:t xml:space="preserve">Review the results of the external audit (coder error rate, high volume/high error MS-DRGs, MS-DRG sets with greatest deviations, areas of concern identified in the audit), identify the risk areas, and determine an audit and training plan for the year. Include details on the frequency of charts to be audited by the external auditor, Coding Manager and Data Quality Auditor taking the $15,000 budget into consideration. Describe the frequency and type of education to be provided for the coders &amp; physicians (i.e., monthly, annually, etc.).  </w:t>
      </w:r>
    </w:p>
    <w:p w:rsidR="00E4420D" w:rsidRPr="00575416" w:rsidRDefault="00E4420D" w:rsidP="00E4420D">
      <w:pPr>
        <w:pStyle w:val="ListParagraph"/>
        <w:spacing w:after="0"/>
        <w:ind w:left="360"/>
        <w:rPr>
          <w:rFonts w:cs="Helvetica"/>
          <w:color w:val="333333"/>
          <w:lang w:val="en"/>
        </w:rPr>
      </w:pPr>
      <w:r w:rsidRPr="00575416">
        <w:rPr>
          <w:rFonts w:cs="Helvetica"/>
          <w:b/>
          <w:color w:val="333333"/>
          <w:lang w:val="en"/>
        </w:rPr>
        <w:t>(20 points)</w:t>
      </w:r>
    </w:p>
    <w:p w:rsidR="00E4420D" w:rsidRPr="00575416" w:rsidRDefault="00E4420D" w:rsidP="00E4420D">
      <w:pPr>
        <w:pStyle w:val="ListParagraph"/>
        <w:numPr>
          <w:ilvl w:val="1"/>
          <w:numId w:val="2"/>
        </w:numPr>
        <w:spacing w:after="0"/>
        <w:ind w:left="1080"/>
        <w:rPr>
          <w:rFonts w:cs="Helvetica"/>
          <w:color w:val="333333"/>
          <w:lang w:val="en"/>
        </w:rPr>
      </w:pPr>
      <w:r w:rsidRPr="00575416">
        <w:rPr>
          <w:rFonts w:cs="Helvetica"/>
          <w:color w:val="333333"/>
          <w:lang w:val="en"/>
        </w:rPr>
        <w:t>Considerations:</w:t>
      </w:r>
    </w:p>
    <w:p w:rsidR="00E4420D" w:rsidRPr="00575416" w:rsidRDefault="00E4420D" w:rsidP="00E4420D">
      <w:pPr>
        <w:pStyle w:val="ListParagraph"/>
        <w:numPr>
          <w:ilvl w:val="2"/>
          <w:numId w:val="2"/>
        </w:numPr>
        <w:spacing w:after="0"/>
        <w:rPr>
          <w:rFonts w:cs="Helvetica"/>
          <w:color w:val="333333"/>
          <w:lang w:val="en"/>
        </w:rPr>
      </w:pPr>
      <w:r w:rsidRPr="00575416">
        <w:rPr>
          <w:rFonts w:cs="Helvetica"/>
          <w:color w:val="333333"/>
          <w:lang w:val="en"/>
        </w:rPr>
        <w:t>Will the entire budget be used for external audits, split between education and audits, etc.?</w:t>
      </w:r>
    </w:p>
    <w:p w:rsidR="00E4420D" w:rsidRPr="00575416" w:rsidRDefault="00E4420D" w:rsidP="00E4420D">
      <w:pPr>
        <w:pStyle w:val="ListParagraph"/>
        <w:numPr>
          <w:ilvl w:val="2"/>
          <w:numId w:val="2"/>
        </w:numPr>
        <w:spacing w:after="0"/>
      </w:pPr>
      <w:r w:rsidRPr="00575416">
        <w:t>How is the work to be divided between the external &amp; internal auditors?</w:t>
      </w:r>
    </w:p>
    <w:p w:rsidR="00E4420D" w:rsidRPr="00575416" w:rsidRDefault="00E4420D" w:rsidP="00E4420D">
      <w:pPr>
        <w:pStyle w:val="ListParagraph"/>
        <w:numPr>
          <w:ilvl w:val="2"/>
          <w:numId w:val="2"/>
        </w:numPr>
        <w:spacing w:after="0"/>
      </w:pPr>
      <w:r w:rsidRPr="00575416">
        <w:t xml:space="preserve">What MS-DRGs or focus areas are to be reviewed (refer to the external audit findings)? </w:t>
      </w:r>
      <w:r w:rsidRPr="00575416">
        <w:rPr>
          <w:rFonts w:cs="Helvetica"/>
          <w:color w:val="333333"/>
          <w:lang w:val="en"/>
        </w:rPr>
        <w:t>Possibly those identified by the external audit with greater error rates?</w:t>
      </w:r>
    </w:p>
    <w:p w:rsidR="00E4420D" w:rsidRPr="00575416" w:rsidRDefault="00E4420D" w:rsidP="00E4420D">
      <w:pPr>
        <w:pStyle w:val="ListParagraph"/>
        <w:numPr>
          <w:ilvl w:val="2"/>
          <w:numId w:val="2"/>
        </w:numPr>
        <w:spacing w:after="0"/>
      </w:pPr>
      <w:r w:rsidRPr="00575416">
        <w:t>Will specific attention be given to the coders with higher error rates and/or new coders?</w:t>
      </w:r>
    </w:p>
    <w:p w:rsidR="00E4420D" w:rsidRPr="00575416" w:rsidRDefault="00E4420D" w:rsidP="00E4420D">
      <w:pPr>
        <w:pStyle w:val="ListParagraph"/>
        <w:numPr>
          <w:ilvl w:val="2"/>
          <w:numId w:val="2"/>
        </w:numPr>
        <w:spacing w:after="0"/>
      </w:pPr>
      <w:r w:rsidRPr="00575416">
        <w:t>What is the plan for physician education?</w:t>
      </w:r>
    </w:p>
    <w:p w:rsidR="00E4420D" w:rsidRPr="00575416" w:rsidRDefault="00E4420D" w:rsidP="00E4420D">
      <w:pPr>
        <w:spacing w:after="0"/>
        <w:ind w:firstLine="720"/>
        <w:rPr>
          <w:rFonts w:cs="Helvetica"/>
          <w:color w:val="333333"/>
          <w:lang w:val="en"/>
        </w:rPr>
      </w:pPr>
    </w:p>
    <w:p w:rsidR="00E4420D" w:rsidRPr="00575416" w:rsidRDefault="00E4420D" w:rsidP="00E4420D">
      <w:pPr>
        <w:pStyle w:val="ListParagraph"/>
        <w:numPr>
          <w:ilvl w:val="0"/>
          <w:numId w:val="2"/>
        </w:numPr>
        <w:spacing w:after="0"/>
        <w:ind w:left="360"/>
        <w:rPr>
          <w:rFonts w:cs="Helvetica"/>
          <w:color w:val="333333"/>
          <w:lang w:val="en"/>
        </w:rPr>
      </w:pPr>
      <w:r w:rsidRPr="00575416">
        <w:rPr>
          <w:rFonts w:cs="Helvetica"/>
          <w:color w:val="333333"/>
          <w:lang w:val="en"/>
        </w:rPr>
        <w:t xml:space="preserve">What coding quality statistics (i.e., coder error rate, MS-DRG sets, etc.) should be monitored and reported to the HIM Director and Compliance? </w:t>
      </w:r>
      <w:r w:rsidRPr="00575416">
        <w:rPr>
          <w:rFonts w:cs="Helvetica"/>
          <w:b/>
          <w:color w:val="333333"/>
          <w:lang w:val="en"/>
        </w:rPr>
        <w:t>(6 points)</w:t>
      </w:r>
    </w:p>
    <w:p w:rsidR="00E4420D" w:rsidRPr="00575416" w:rsidRDefault="00E4420D" w:rsidP="00E4420D">
      <w:pPr>
        <w:pStyle w:val="ListParagraph"/>
        <w:numPr>
          <w:ilvl w:val="1"/>
          <w:numId w:val="2"/>
        </w:numPr>
        <w:spacing w:after="0"/>
        <w:rPr>
          <w:rFonts w:cs="Helvetica"/>
          <w:lang w:val="en"/>
        </w:rPr>
      </w:pPr>
      <w:r w:rsidRPr="00575416">
        <w:rPr>
          <w:rFonts w:eastAsia="Times New Roman" w:cs="Times New Roman"/>
        </w:rPr>
        <w:t xml:space="preserve">The data quality auditor could maintain coding quality logs similar to the ones produced by the external auditor. Monitor the same stats including coder error rate, error rate by </w:t>
      </w:r>
      <w:r w:rsidRPr="00575416">
        <w:rPr>
          <w:rFonts w:eastAsia="Times New Roman" w:cs="Times New Roman"/>
        </w:rPr>
        <w:lastRenderedPageBreak/>
        <w:t>DRG, reasons for DRG changes (Omission CC, etc.).  This would make for easy comparison from month to month, quarter to quarter, and such.</w:t>
      </w:r>
    </w:p>
    <w:p w:rsidR="00E4420D" w:rsidRPr="00575416" w:rsidRDefault="00E4420D" w:rsidP="00E4420D">
      <w:pPr>
        <w:pStyle w:val="ListParagraph"/>
        <w:numPr>
          <w:ilvl w:val="1"/>
          <w:numId w:val="2"/>
        </w:numPr>
        <w:spacing w:after="0"/>
        <w:rPr>
          <w:rFonts w:cs="Helvetica"/>
          <w:lang w:val="en"/>
        </w:rPr>
      </w:pPr>
      <w:r w:rsidRPr="00575416">
        <w:rPr>
          <w:rFonts w:eastAsia="Times New Roman" w:cs="Times New Roman"/>
        </w:rPr>
        <w:t>The statistics should be easy for the data quality manager to maintain, perhaps in a database or spreadsheet format. The time it takes to maintain statistics should not be a significant amount of time per day.</w:t>
      </w:r>
    </w:p>
    <w:p w:rsidR="00E4420D" w:rsidRPr="00575416" w:rsidRDefault="00E4420D" w:rsidP="00E4420D">
      <w:pPr>
        <w:pStyle w:val="ListParagraph"/>
        <w:spacing w:after="0"/>
        <w:ind w:left="360"/>
        <w:rPr>
          <w:rFonts w:cs="Helvetica"/>
          <w:color w:val="333333"/>
          <w:lang w:val="en"/>
        </w:rPr>
      </w:pPr>
    </w:p>
    <w:p w:rsidR="00E4420D" w:rsidRPr="00575416" w:rsidRDefault="00E4420D" w:rsidP="00E4420D">
      <w:pPr>
        <w:pStyle w:val="ListParagraph"/>
        <w:numPr>
          <w:ilvl w:val="0"/>
          <w:numId w:val="2"/>
        </w:numPr>
        <w:spacing w:after="0"/>
        <w:ind w:left="360"/>
        <w:rPr>
          <w:rFonts w:cs="Helvetica"/>
          <w:b/>
          <w:color w:val="333333"/>
          <w:lang w:val="en"/>
        </w:rPr>
      </w:pPr>
      <w:r w:rsidRPr="00575416">
        <w:rPr>
          <w:rFonts w:cs="Helvetica"/>
          <w:color w:val="333333"/>
          <w:lang w:val="en"/>
        </w:rPr>
        <w:t xml:space="preserve">What reward &amp; incentive plan should be used for the coders who improve and/or consistently meet or exceed the standard of 95% compliance? </w:t>
      </w:r>
      <w:r w:rsidRPr="00575416">
        <w:rPr>
          <w:rFonts w:cs="Helvetica"/>
          <w:b/>
          <w:color w:val="333333"/>
          <w:lang w:val="en"/>
        </w:rPr>
        <w:t>(4 points)</w:t>
      </w:r>
    </w:p>
    <w:p w:rsidR="00E4420D" w:rsidRPr="00575416" w:rsidRDefault="00E4420D" w:rsidP="00E4420D">
      <w:pPr>
        <w:numPr>
          <w:ilvl w:val="1"/>
          <w:numId w:val="2"/>
        </w:numPr>
        <w:spacing w:after="0" w:line="240" w:lineRule="auto"/>
        <w:rPr>
          <w:rFonts w:eastAsia="Times New Roman" w:cs="Times New Roman"/>
        </w:rPr>
      </w:pPr>
      <w:r w:rsidRPr="00575416">
        <w:rPr>
          <w:rFonts w:eastAsia="Times New Roman" w:cs="Times New Roman"/>
        </w:rPr>
        <w:t>There is not a right or wrong answer on this so be creative.  Think of incentives you appreciate at current or previous positions.</w:t>
      </w:r>
    </w:p>
    <w:p w:rsidR="00E4420D" w:rsidRPr="00575416" w:rsidRDefault="00E4420D" w:rsidP="00E4420D">
      <w:pPr>
        <w:numPr>
          <w:ilvl w:val="1"/>
          <w:numId w:val="2"/>
        </w:numPr>
        <w:spacing w:after="0" w:line="240" w:lineRule="auto"/>
        <w:rPr>
          <w:rFonts w:eastAsia="Times New Roman" w:cs="Times New Roman"/>
        </w:rPr>
      </w:pPr>
      <w:r w:rsidRPr="00575416">
        <w:rPr>
          <w:rFonts w:eastAsia="Times New Roman" w:cs="Times New Roman"/>
        </w:rPr>
        <w:t xml:space="preserve">Example: A coding team worked very hard to lower the “days from discharge to coding”. As a reward, the CEO/President of the hospital came to the department, shook each coder’s hand, and thanked them all for their hard work. He also expressed how important their position was to the hospital and to the patients. </w:t>
      </w:r>
    </w:p>
    <w:p w:rsidR="00E4420D" w:rsidRPr="00575416" w:rsidRDefault="00E4420D" w:rsidP="00E4420D">
      <w:pPr>
        <w:numPr>
          <w:ilvl w:val="1"/>
          <w:numId w:val="2"/>
        </w:numPr>
        <w:spacing w:after="0" w:line="240" w:lineRule="auto"/>
        <w:rPr>
          <w:rFonts w:eastAsia="Times New Roman" w:cs="Times New Roman"/>
        </w:rPr>
      </w:pPr>
      <w:r w:rsidRPr="00575416">
        <w:rPr>
          <w:rFonts w:eastAsia="Times New Roman" w:cs="Times New Roman"/>
        </w:rPr>
        <w:t>Perhaps the coding manager could request that some of the budget be set aside for incentives. If the entire $15,000 is not used for external reviews, then could some of that be used for the employees?</w:t>
      </w:r>
    </w:p>
    <w:p w:rsidR="00E4420D" w:rsidRPr="00575416" w:rsidRDefault="00E4420D" w:rsidP="00E4420D"/>
    <w:p w:rsidR="00E4420D" w:rsidRPr="006E0560" w:rsidRDefault="00E4420D" w:rsidP="00E4420D">
      <w:r w:rsidRPr="006E0560">
        <w:rPr>
          <w:b/>
        </w:rPr>
        <w:t>Your Coding Team consists of:</w:t>
      </w:r>
    </w:p>
    <w:p w:rsidR="00E4420D" w:rsidRPr="006E0560" w:rsidRDefault="00E4420D" w:rsidP="00E4420D">
      <w:r w:rsidRPr="006E0560">
        <w:tab/>
        <w:t>Coding Manager (you)</w:t>
      </w:r>
    </w:p>
    <w:p w:rsidR="00E4420D" w:rsidRPr="006E0560" w:rsidRDefault="00E4420D" w:rsidP="00E4420D">
      <w:r w:rsidRPr="006E0560">
        <w:tab/>
        <w:t>Data Quality Auditor (1 FTE)</w:t>
      </w:r>
    </w:p>
    <w:p w:rsidR="00E4420D" w:rsidRPr="006E0560" w:rsidRDefault="00E4420D" w:rsidP="00E4420D">
      <w:r w:rsidRPr="006E0560">
        <w:tab/>
        <w:t>8 – Inpatient Coders (8 FTE)</w:t>
      </w:r>
    </w:p>
    <w:p w:rsidR="00E4420D" w:rsidRPr="006E0560" w:rsidRDefault="00E4420D" w:rsidP="00E4420D">
      <w:r w:rsidRPr="006E0560">
        <w:tab/>
      </w:r>
      <w:r w:rsidRPr="006E0560">
        <w:tab/>
        <w:t>2-RHIA, CCS</w:t>
      </w:r>
    </w:p>
    <w:p w:rsidR="00E4420D" w:rsidRPr="006E0560" w:rsidRDefault="00E4420D" w:rsidP="00E4420D">
      <w:r w:rsidRPr="006E0560">
        <w:tab/>
      </w:r>
      <w:r w:rsidRPr="006E0560">
        <w:tab/>
        <w:t>3-CCS</w:t>
      </w:r>
    </w:p>
    <w:p w:rsidR="00E4420D" w:rsidRPr="006E0560" w:rsidRDefault="00E4420D" w:rsidP="00E4420D">
      <w:r w:rsidRPr="006E0560">
        <w:tab/>
      </w:r>
      <w:r w:rsidRPr="006E0560">
        <w:tab/>
        <w:t>3-RHIT</w:t>
      </w:r>
    </w:p>
    <w:p w:rsidR="00E4420D" w:rsidRPr="006E0560" w:rsidRDefault="00E4420D" w:rsidP="00E4420D">
      <w:pPr>
        <w:rPr>
          <w:b/>
        </w:rPr>
      </w:pPr>
      <w:r w:rsidRPr="006E0560">
        <w:rPr>
          <w:b/>
        </w:rPr>
        <w:t>Results of the full assessment coding review for AUH</w:t>
      </w:r>
    </w:p>
    <w:p w:rsidR="00E4420D" w:rsidRPr="006E0560" w:rsidRDefault="00E4420D" w:rsidP="00E4420D">
      <w:r w:rsidRPr="006E0560">
        <w:t>Two audits were performed:</w:t>
      </w:r>
    </w:p>
    <w:p w:rsidR="00E4420D" w:rsidRPr="00724F0D" w:rsidRDefault="00E4420D" w:rsidP="00E4420D">
      <w:pPr>
        <w:ind w:left="720"/>
      </w:pPr>
      <w:r w:rsidRPr="006E0560">
        <w:t>1. Coding quality review</w:t>
      </w:r>
      <w:r w:rsidRPr="00724F0D">
        <w:t xml:space="preserve"> by MS-DRG</w:t>
      </w:r>
    </w:p>
    <w:p w:rsidR="00E4420D" w:rsidRPr="00724F0D" w:rsidRDefault="00E4420D" w:rsidP="00E4420D">
      <w:pPr>
        <w:ind w:left="720"/>
      </w:pPr>
      <w:r w:rsidRPr="00724F0D">
        <w:t>2. MS-DRG Relationship Analysis</w:t>
      </w:r>
    </w:p>
    <w:p w:rsidR="00E4420D" w:rsidRPr="00724F0D" w:rsidRDefault="00E4420D" w:rsidP="00E442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440"/>
      </w:tblGrid>
      <w:tr w:rsidR="00E4420D" w:rsidRPr="00DE49BA" w:rsidTr="00856B7C">
        <w:tc>
          <w:tcPr>
            <w:tcW w:w="7128" w:type="dxa"/>
          </w:tcPr>
          <w:p w:rsidR="00E4420D" w:rsidRPr="00DE49BA" w:rsidRDefault="00E4420D" w:rsidP="00856B7C">
            <w:pPr>
              <w:jc w:val="center"/>
              <w:rPr>
                <w:b/>
              </w:rPr>
            </w:pPr>
            <w:r w:rsidRPr="00DE49BA">
              <w:rPr>
                <w:b/>
              </w:rPr>
              <w:t>Variation Log by Type of Error</w:t>
            </w:r>
          </w:p>
        </w:tc>
        <w:tc>
          <w:tcPr>
            <w:tcW w:w="1440" w:type="dxa"/>
          </w:tcPr>
          <w:p w:rsidR="00E4420D" w:rsidRPr="00DE49BA" w:rsidRDefault="00E4420D" w:rsidP="00856B7C">
            <w:pPr>
              <w:jc w:val="center"/>
              <w:rPr>
                <w:b/>
              </w:rPr>
            </w:pPr>
            <w:r w:rsidRPr="00DE49BA">
              <w:rPr>
                <w:b/>
              </w:rPr>
              <w:t>% of errors</w:t>
            </w:r>
          </w:p>
        </w:tc>
      </w:tr>
      <w:tr w:rsidR="00E4420D" w:rsidRPr="00DE49BA" w:rsidTr="00856B7C">
        <w:tc>
          <w:tcPr>
            <w:tcW w:w="7128" w:type="dxa"/>
          </w:tcPr>
          <w:p w:rsidR="00E4420D" w:rsidRPr="00DE49BA" w:rsidRDefault="00E4420D" w:rsidP="00856B7C">
            <w:r w:rsidRPr="00DE49BA">
              <w:t>Inaccurate sequencing or specificity principal diagnosis, affect MS-DRG</w:t>
            </w:r>
          </w:p>
        </w:tc>
        <w:tc>
          <w:tcPr>
            <w:tcW w:w="1440" w:type="dxa"/>
          </w:tcPr>
          <w:p w:rsidR="00E4420D" w:rsidRPr="00DE49BA" w:rsidRDefault="00E4420D" w:rsidP="00856B7C">
            <w:pPr>
              <w:jc w:val="right"/>
              <w:rPr>
                <w:b/>
              </w:rPr>
            </w:pPr>
            <w:r w:rsidRPr="00DE49BA">
              <w:rPr>
                <w:b/>
              </w:rPr>
              <w:t>17%</w:t>
            </w:r>
          </w:p>
        </w:tc>
      </w:tr>
      <w:tr w:rsidR="00E4420D" w:rsidRPr="00DE49BA" w:rsidTr="00856B7C">
        <w:tc>
          <w:tcPr>
            <w:tcW w:w="7128" w:type="dxa"/>
          </w:tcPr>
          <w:p w:rsidR="00E4420D" w:rsidRPr="00DE49BA" w:rsidRDefault="00E4420D" w:rsidP="00856B7C">
            <w:r w:rsidRPr="00DE49BA">
              <w:lastRenderedPageBreak/>
              <w:t xml:space="preserve">Inaccurate sequencing or specificity principal diagnosis, </w:t>
            </w:r>
            <w:proofErr w:type="spellStart"/>
            <w:r w:rsidRPr="00DE49BA">
              <w:t>non affect</w:t>
            </w:r>
            <w:proofErr w:type="spellEnd"/>
            <w:r w:rsidRPr="00DE49BA">
              <w:t xml:space="preserve"> MS-DRG</w:t>
            </w:r>
          </w:p>
        </w:tc>
        <w:tc>
          <w:tcPr>
            <w:tcW w:w="1440" w:type="dxa"/>
          </w:tcPr>
          <w:p w:rsidR="00E4420D" w:rsidRPr="00DE49BA" w:rsidRDefault="00E4420D" w:rsidP="00856B7C">
            <w:pPr>
              <w:jc w:val="right"/>
              <w:rPr>
                <w:b/>
              </w:rPr>
            </w:pPr>
            <w:r w:rsidRPr="00DE49BA">
              <w:rPr>
                <w:b/>
              </w:rPr>
              <w:t>16%</w:t>
            </w:r>
          </w:p>
        </w:tc>
      </w:tr>
      <w:tr w:rsidR="00E4420D" w:rsidRPr="00DE49BA" w:rsidTr="00856B7C">
        <w:tc>
          <w:tcPr>
            <w:tcW w:w="7128" w:type="dxa"/>
          </w:tcPr>
          <w:p w:rsidR="00E4420D" w:rsidRPr="00DE49BA" w:rsidRDefault="00E4420D" w:rsidP="00856B7C">
            <w:r w:rsidRPr="00DE49BA">
              <w:t>Omission CC, affect MS-DRG</w:t>
            </w:r>
          </w:p>
        </w:tc>
        <w:tc>
          <w:tcPr>
            <w:tcW w:w="1440" w:type="dxa"/>
          </w:tcPr>
          <w:p w:rsidR="00E4420D" w:rsidRPr="00DE49BA" w:rsidRDefault="00E4420D" w:rsidP="00856B7C">
            <w:pPr>
              <w:jc w:val="right"/>
              <w:rPr>
                <w:b/>
              </w:rPr>
            </w:pPr>
            <w:r w:rsidRPr="00DE49BA">
              <w:rPr>
                <w:b/>
              </w:rPr>
              <w:t>33%</w:t>
            </w:r>
          </w:p>
        </w:tc>
      </w:tr>
      <w:tr w:rsidR="00E4420D" w:rsidRPr="00DE49BA" w:rsidTr="00856B7C">
        <w:tc>
          <w:tcPr>
            <w:tcW w:w="7128" w:type="dxa"/>
          </w:tcPr>
          <w:p w:rsidR="00E4420D" w:rsidRPr="00DE49BA" w:rsidRDefault="00E4420D" w:rsidP="00856B7C">
            <w:r w:rsidRPr="00DE49BA">
              <w:t xml:space="preserve">Omission CC, </w:t>
            </w:r>
            <w:proofErr w:type="spellStart"/>
            <w:r w:rsidRPr="00DE49BA">
              <w:t>non affect</w:t>
            </w:r>
            <w:proofErr w:type="spellEnd"/>
            <w:r w:rsidRPr="00DE49BA">
              <w:t xml:space="preserve"> MS-DRG</w:t>
            </w:r>
          </w:p>
        </w:tc>
        <w:tc>
          <w:tcPr>
            <w:tcW w:w="1440" w:type="dxa"/>
          </w:tcPr>
          <w:p w:rsidR="00E4420D" w:rsidRPr="00DE49BA" w:rsidRDefault="00E4420D" w:rsidP="00856B7C">
            <w:pPr>
              <w:jc w:val="right"/>
            </w:pPr>
            <w:r w:rsidRPr="00DE49BA">
              <w:t>2%</w:t>
            </w:r>
          </w:p>
        </w:tc>
      </w:tr>
      <w:tr w:rsidR="00E4420D" w:rsidRPr="00DE49BA" w:rsidTr="00856B7C">
        <w:tc>
          <w:tcPr>
            <w:tcW w:w="7128" w:type="dxa"/>
          </w:tcPr>
          <w:p w:rsidR="00E4420D" w:rsidRPr="00DE49BA" w:rsidRDefault="00E4420D" w:rsidP="00856B7C">
            <w:r w:rsidRPr="00DE49BA">
              <w:t>Inaccurate principal procedure, affect MS-DRG</w:t>
            </w:r>
          </w:p>
        </w:tc>
        <w:tc>
          <w:tcPr>
            <w:tcW w:w="1440" w:type="dxa"/>
          </w:tcPr>
          <w:p w:rsidR="00E4420D" w:rsidRPr="00DE49BA" w:rsidRDefault="00E4420D" w:rsidP="00856B7C">
            <w:pPr>
              <w:jc w:val="right"/>
            </w:pPr>
            <w:r w:rsidRPr="00DE49BA">
              <w:t>3%</w:t>
            </w:r>
          </w:p>
        </w:tc>
      </w:tr>
      <w:tr w:rsidR="00E4420D" w:rsidRPr="00DE49BA" w:rsidTr="00856B7C">
        <w:tc>
          <w:tcPr>
            <w:tcW w:w="7128" w:type="dxa"/>
          </w:tcPr>
          <w:p w:rsidR="00E4420D" w:rsidRPr="00DE49BA" w:rsidRDefault="00E4420D" w:rsidP="00856B7C">
            <w:r w:rsidRPr="00DE49BA">
              <w:t>Omission procedure, affect MS-DRG</w:t>
            </w:r>
          </w:p>
        </w:tc>
        <w:tc>
          <w:tcPr>
            <w:tcW w:w="1440" w:type="dxa"/>
          </w:tcPr>
          <w:p w:rsidR="00E4420D" w:rsidRPr="00DE49BA" w:rsidRDefault="00E4420D" w:rsidP="00856B7C">
            <w:pPr>
              <w:jc w:val="right"/>
            </w:pPr>
            <w:r w:rsidRPr="00DE49BA">
              <w:t>4%</w:t>
            </w:r>
          </w:p>
        </w:tc>
      </w:tr>
      <w:tr w:rsidR="00E4420D" w:rsidRPr="00DE49BA" w:rsidTr="00856B7C">
        <w:tc>
          <w:tcPr>
            <w:tcW w:w="7128" w:type="dxa"/>
          </w:tcPr>
          <w:p w:rsidR="00E4420D" w:rsidRPr="00DE49BA" w:rsidRDefault="00E4420D" w:rsidP="00856B7C">
            <w:r w:rsidRPr="00DE49BA">
              <w:t xml:space="preserve">More specific coding of diagnosis or procedure, </w:t>
            </w:r>
            <w:proofErr w:type="spellStart"/>
            <w:r w:rsidRPr="00DE49BA">
              <w:t>non affect</w:t>
            </w:r>
            <w:proofErr w:type="spellEnd"/>
            <w:r w:rsidRPr="00DE49BA">
              <w:t xml:space="preserve"> MS-DRG</w:t>
            </w:r>
          </w:p>
        </w:tc>
        <w:tc>
          <w:tcPr>
            <w:tcW w:w="1440" w:type="dxa"/>
          </w:tcPr>
          <w:p w:rsidR="00E4420D" w:rsidRPr="00DE49BA" w:rsidRDefault="00E4420D" w:rsidP="00856B7C">
            <w:pPr>
              <w:jc w:val="right"/>
              <w:rPr>
                <w:b/>
              </w:rPr>
            </w:pPr>
            <w:r w:rsidRPr="00DE49BA">
              <w:rPr>
                <w:b/>
              </w:rPr>
              <w:t>12%</w:t>
            </w:r>
          </w:p>
        </w:tc>
      </w:tr>
      <w:tr w:rsidR="00E4420D" w:rsidRPr="00DE49BA" w:rsidTr="00856B7C">
        <w:tc>
          <w:tcPr>
            <w:tcW w:w="7128" w:type="dxa"/>
          </w:tcPr>
          <w:p w:rsidR="00E4420D" w:rsidRPr="00DE49BA" w:rsidRDefault="00E4420D" w:rsidP="00856B7C">
            <w:r w:rsidRPr="00DE49BA">
              <w:t>Inaccurate coding</w:t>
            </w:r>
          </w:p>
        </w:tc>
        <w:tc>
          <w:tcPr>
            <w:tcW w:w="1440" w:type="dxa"/>
          </w:tcPr>
          <w:p w:rsidR="00E4420D" w:rsidRPr="00DE49BA" w:rsidRDefault="00E4420D" w:rsidP="00856B7C">
            <w:pPr>
              <w:jc w:val="right"/>
            </w:pPr>
            <w:r w:rsidRPr="00DE49BA">
              <w:t>5%</w:t>
            </w:r>
          </w:p>
        </w:tc>
      </w:tr>
      <w:tr w:rsidR="00E4420D" w:rsidRPr="00DE49BA" w:rsidTr="00856B7C">
        <w:tc>
          <w:tcPr>
            <w:tcW w:w="7128" w:type="dxa"/>
          </w:tcPr>
          <w:p w:rsidR="00E4420D" w:rsidRPr="00DE49BA" w:rsidRDefault="00E4420D" w:rsidP="00856B7C">
            <w:r w:rsidRPr="00DE49BA">
              <w:t>Missed diagnosis or procedure code</w:t>
            </w:r>
          </w:p>
        </w:tc>
        <w:tc>
          <w:tcPr>
            <w:tcW w:w="1440" w:type="dxa"/>
          </w:tcPr>
          <w:p w:rsidR="00E4420D" w:rsidRPr="00DE49BA" w:rsidRDefault="00E4420D" w:rsidP="00856B7C">
            <w:pPr>
              <w:jc w:val="right"/>
            </w:pPr>
            <w:r w:rsidRPr="00DE49BA">
              <w:t>8%</w:t>
            </w:r>
          </w:p>
        </w:tc>
      </w:tr>
    </w:tbl>
    <w:p w:rsidR="00E4420D" w:rsidRPr="00724F0D" w:rsidRDefault="00E4420D" w:rsidP="00E4420D"/>
    <w:p w:rsidR="00E4420D" w:rsidRDefault="00E4420D" w:rsidP="00E4420D"/>
    <w:p w:rsidR="00E4420D" w:rsidRPr="00724F0D" w:rsidRDefault="00E4420D" w:rsidP="00E442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664"/>
      </w:tblGrid>
      <w:tr w:rsidR="00E4420D" w:rsidRPr="00DE49BA" w:rsidTr="00856B7C">
        <w:tc>
          <w:tcPr>
            <w:tcW w:w="8568" w:type="dxa"/>
            <w:gridSpan w:val="3"/>
          </w:tcPr>
          <w:p w:rsidR="00E4420D" w:rsidRPr="00DE49BA" w:rsidRDefault="00E4420D" w:rsidP="00856B7C">
            <w:pPr>
              <w:jc w:val="center"/>
              <w:rPr>
                <w:b/>
              </w:rPr>
            </w:pPr>
            <w:r w:rsidRPr="00DE49BA">
              <w:rPr>
                <w:b/>
              </w:rPr>
              <w:t>Variation Log by Coder</w:t>
            </w:r>
          </w:p>
        </w:tc>
      </w:tr>
      <w:tr w:rsidR="00E4420D" w:rsidRPr="00DE49BA" w:rsidTr="00856B7C">
        <w:tc>
          <w:tcPr>
            <w:tcW w:w="2952" w:type="dxa"/>
          </w:tcPr>
          <w:p w:rsidR="00E4420D" w:rsidRPr="00DE49BA" w:rsidRDefault="00E4420D" w:rsidP="00856B7C">
            <w:pPr>
              <w:jc w:val="center"/>
              <w:rPr>
                <w:b/>
              </w:rPr>
            </w:pPr>
            <w:r w:rsidRPr="00DE49BA">
              <w:rPr>
                <w:b/>
              </w:rPr>
              <w:t>Coder</w:t>
            </w:r>
          </w:p>
        </w:tc>
        <w:tc>
          <w:tcPr>
            <w:tcW w:w="2952" w:type="dxa"/>
          </w:tcPr>
          <w:p w:rsidR="00E4420D" w:rsidRPr="00DE49BA" w:rsidRDefault="00E4420D" w:rsidP="00856B7C">
            <w:pPr>
              <w:jc w:val="center"/>
              <w:rPr>
                <w:b/>
              </w:rPr>
            </w:pPr>
            <w:r w:rsidRPr="00DE49BA">
              <w:rPr>
                <w:b/>
              </w:rPr>
              <w:t>Error Rate</w:t>
            </w:r>
          </w:p>
        </w:tc>
        <w:tc>
          <w:tcPr>
            <w:tcW w:w="2664" w:type="dxa"/>
          </w:tcPr>
          <w:p w:rsidR="00E4420D" w:rsidRPr="00DE49BA" w:rsidRDefault="00E4420D" w:rsidP="00856B7C">
            <w:pPr>
              <w:jc w:val="center"/>
              <w:rPr>
                <w:b/>
              </w:rPr>
            </w:pPr>
            <w:r w:rsidRPr="00DE49BA">
              <w:rPr>
                <w:b/>
              </w:rPr>
              <w:t>Standard</w:t>
            </w:r>
          </w:p>
        </w:tc>
      </w:tr>
      <w:tr w:rsidR="00E4420D" w:rsidRPr="00DE49BA" w:rsidTr="00856B7C">
        <w:tc>
          <w:tcPr>
            <w:tcW w:w="2952" w:type="dxa"/>
          </w:tcPr>
          <w:p w:rsidR="00E4420D" w:rsidRPr="00DE49BA" w:rsidRDefault="00E4420D" w:rsidP="00856B7C">
            <w:r w:rsidRPr="00DE49BA">
              <w:t>Coder 1</w:t>
            </w:r>
          </w:p>
        </w:tc>
        <w:tc>
          <w:tcPr>
            <w:tcW w:w="2952" w:type="dxa"/>
          </w:tcPr>
          <w:p w:rsidR="00E4420D" w:rsidRPr="00DE49BA" w:rsidRDefault="00E4420D" w:rsidP="00856B7C">
            <w:pPr>
              <w:jc w:val="center"/>
            </w:pPr>
            <w:r w:rsidRPr="00DE49BA">
              <w:t>3%</w:t>
            </w:r>
          </w:p>
        </w:tc>
        <w:tc>
          <w:tcPr>
            <w:tcW w:w="2664" w:type="dxa"/>
          </w:tcPr>
          <w:p w:rsidR="00E4420D" w:rsidRPr="00DE49BA" w:rsidRDefault="00E4420D" w:rsidP="00856B7C">
            <w:pPr>
              <w:jc w:val="center"/>
            </w:pPr>
            <w:r w:rsidRPr="00DE49BA">
              <w:t>5%</w:t>
            </w:r>
          </w:p>
        </w:tc>
      </w:tr>
      <w:tr w:rsidR="00E4420D" w:rsidRPr="00DE49BA" w:rsidTr="00856B7C">
        <w:tc>
          <w:tcPr>
            <w:tcW w:w="2952" w:type="dxa"/>
          </w:tcPr>
          <w:p w:rsidR="00E4420D" w:rsidRPr="00DE49BA" w:rsidRDefault="00E4420D" w:rsidP="00856B7C">
            <w:r w:rsidRPr="00DE49BA">
              <w:t>Coder 2</w:t>
            </w:r>
          </w:p>
        </w:tc>
        <w:tc>
          <w:tcPr>
            <w:tcW w:w="2952" w:type="dxa"/>
          </w:tcPr>
          <w:p w:rsidR="00E4420D" w:rsidRPr="00DE49BA" w:rsidRDefault="00E4420D" w:rsidP="00856B7C">
            <w:pPr>
              <w:jc w:val="center"/>
              <w:rPr>
                <w:b/>
              </w:rPr>
            </w:pPr>
            <w:r w:rsidRPr="00DE49BA">
              <w:rPr>
                <w:b/>
              </w:rPr>
              <w:t>9%</w:t>
            </w:r>
          </w:p>
        </w:tc>
        <w:tc>
          <w:tcPr>
            <w:tcW w:w="2664" w:type="dxa"/>
          </w:tcPr>
          <w:p w:rsidR="00E4420D" w:rsidRPr="00DE49BA" w:rsidRDefault="00E4420D" w:rsidP="00856B7C">
            <w:pPr>
              <w:jc w:val="center"/>
            </w:pPr>
            <w:r w:rsidRPr="00DE49BA">
              <w:t>5%</w:t>
            </w:r>
          </w:p>
        </w:tc>
      </w:tr>
      <w:tr w:rsidR="00E4420D" w:rsidRPr="00DE49BA" w:rsidTr="00856B7C">
        <w:tc>
          <w:tcPr>
            <w:tcW w:w="2952" w:type="dxa"/>
          </w:tcPr>
          <w:p w:rsidR="00E4420D" w:rsidRPr="00DE49BA" w:rsidRDefault="00E4420D" w:rsidP="00856B7C">
            <w:r w:rsidRPr="00DE49BA">
              <w:t>Coder 3</w:t>
            </w:r>
          </w:p>
        </w:tc>
        <w:tc>
          <w:tcPr>
            <w:tcW w:w="2952" w:type="dxa"/>
          </w:tcPr>
          <w:p w:rsidR="00E4420D" w:rsidRPr="00DE49BA" w:rsidRDefault="00E4420D" w:rsidP="00856B7C">
            <w:pPr>
              <w:jc w:val="center"/>
              <w:rPr>
                <w:b/>
              </w:rPr>
            </w:pPr>
            <w:r w:rsidRPr="00DE49BA">
              <w:rPr>
                <w:b/>
              </w:rPr>
              <w:t>8%</w:t>
            </w:r>
          </w:p>
        </w:tc>
        <w:tc>
          <w:tcPr>
            <w:tcW w:w="2664" w:type="dxa"/>
          </w:tcPr>
          <w:p w:rsidR="00E4420D" w:rsidRPr="00DE49BA" w:rsidRDefault="00E4420D" w:rsidP="00856B7C">
            <w:pPr>
              <w:jc w:val="center"/>
            </w:pPr>
            <w:r w:rsidRPr="00DE49BA">
              <w:t>5%</w:t>
            </w:r>
          </w:p>
        </w:tc>
      </w:tr>
      <w:tr w:rsidR="00E4420D" w:rsidRPr="00DE49BA" w:rsidTr="00856B7C">
        <w:tc>
          <w:tcPr>
            <w:tcW w:w="2952" w:type="dxa"/>
          </w:tcPr>
          <w:p w:rsidR="00E4420D" w:rsidRPr="00DE49BA" w:rsidRDefault="00E4420D" w:rsidP="00856B7C">
            <w:r w:rsidRPr="00DE49BA">
              <w:t>Coder 4</w:t>
            </w:r>
          </w:p>
        </w:tc>
        <w:tc>
          <w:tcPr>
            <w:tcW w:w="2952" w:type="dxa"/>
          </w:tcPr>
          <w:p w:rsidR="00E4420D" w:rsidRPr="00DE49BA" w:rsidRDefault="00E4420D" w:rsidP="00856B7C">
            <w:pPr>
              <w:jc w:val="center"/>
            </w:pPr>
            <w:r w:rsidRPr="00DE49BA">
              <w:t>2%</w:t>
            </w:r>
          </w:p>
        </w:tc>
        <w:tc>
          <w:tcPr>
            <w:tcW w:w="2664" w:type="dxa"/>
          </w:tcPr>
          <w:p w:rsidR="00E4420D" w:rsidRPr="00DE49BA" w:rsidRDefault="00E4420D" w:rsidP="00856B7C">
            <w:pPr>
              <w:jc w:val="center"/>
            </w:pPr>
            <w:r w:rsidRPr="00DE49BA">
              <w:t>5%</w:t>
            </w:r>
          </w:p>
        </w:tc>
      </w:tr>
      <w:tr w:rsidR="00E4420D" w:rsidRPr="00DE49BA" w:rsidTr="00856B7C">
        <w:tc>
          <w:tcPr>
            <w:tcW w:w="2952" w:type="dxa"/>
          </w:tcPr>
          <w:p w:rsidR="00E4420D" w:rsidRPr="00DE49BA" w:rsidRDefault="00E4420D" w:rsidP="00856B7C">
            <w:r w:rsidRPr="00DE49BA">
              <w:t>Coder 5</w:t>
            </w:r>
          </w:p>
        </w:tc>
        <w:tc>
          <w:tcPr>
            <w:tcW w:w="2952" w:type="dxa"/>
          </w:tcPr>
          <w:p w:rsidR="00E4420D" w:rsidRPr="00DE49BA" w:rsidRDefault="00E4420D" w:rsidP="00856B7C">
            <w:pPr>
              <w:jc w:val="center"/>
            </w:pPr>
            <w:r w:rsidRPr="00DE49BA">
              <w:t>4%</w:t>
            </w:r>
          </w:p>
        </w:tc>
        <w:tc>
          <w:tcPr>
            <w:tcW w:w="2664" w:type="dxa"/>
          </w:tcPr>
          <w:p w:rsidR="00E4420D" w:rsidRPr="00DE49BA" w:rsidRDefault="00E4420D" w:rsidP="00856B7C">
            <w:pPr>
              <w:jc w:val="center"/>
            </w:pPr>
            <w:r w:rsidRPr="00DE49BA">
              <w:t>5%</w:t>
            </w:r>
          </w:p>
        </w:tc>
      </w:tr>
      <w:tr w:rsidR="00E4420D" w:rsidRPr="00DE49BA" w:rsidTr="00856B7C">
        <w:tc>
          <w:tcPr>
            <w:tcW w:w="2952" w:type="dxa"/>
          </w:tcPr>
          <w:p w:rsidR="00E4420D" w:rsidRPr="00DE49BA" w:rsidRDefault="00E4420D" w:rsidP="00856B7C">
            <w:r w:rsidRPr="00DE49BA">
              <w:t>Coder 6</w:t>
            </w:r>
          </w:p>
        </w:tc>
        <w:tc>
          <w:tcPr>
            <w:tcW w:w="2952" w:type="dxa"/>
          </w:tcPr>
          <w:p w:rsidR="00E4420D" w:rsidRPr="00DE49BA" w:rsidRDefault="00E4420D" w:rsidP="00856B7C">
            <w:pPr>
              <w:jc w:val="center"/>
              <w:rPr>
                <w:b/>
              </w:rPr>
            </w:pPr>
            <w:r w:rsidRPr="00DE49BA">
              <w:rPr>
                <w:b/>
              </w:rPr>
              <w:t>16%</w:t>
            </w:r>
          </w:p>
        </w:tc>
        <w:tc>
          <w:tcPr>
            <w:tcW w:w="2664" w:type="dxa"/>
          </w:tcPr>
          <w:p w:rsidR="00E4420D" w:rsidRPr="00DE49BA" w:rsidRDefault="00E4420D" w:rsidP="00856B7C">
            <w:pPr>
              <w:jc w:val="center"/>
            </w:pPr>
            <w:r w:rsidRPr="00DE49BA">
              <w:t>5%</w:t>
            </w:r>
          </w:p>
        </w:tc>
      </w:tr>
      <w:tr w:rsidR="00E4420D" w:rsidRPr="00DE49BA" w:rsidTr="00856B7C">
        <w:tc>
          <w:tcPr>
            <w:tcW w:w="2952" w:type="dxa"/>
          </w:tcPr>
          <w:p w:rsidR="00E4420D" w:rsidRPr="00DE49BA" w:rsidRDefault="00E4420D" w:rsidP="00856B7C">
            <w:r w:rsidRPr="00DE49BA">
              <w:t>Coder 7</w:t>
            </w:r>
          </w:p>
        </w:tc>
        <w:tc>
          <w:tcPr>
            <w:tcW w:w="2952" w:type="dxa"/>
          </w:tcPr>
          <w:p w:rsidR="00E4420D" w:rsidRPr="00DE49BA" w:rsidRDefault="00E4420D" w:rsidP="00856B7C">
            <w:pPr>
              <w:jc w:val="center"/>
              <w:rPr>
                <w:b/>
              </w:rPr>
            </w:pPr>
            <w:r w:rsidRPr="00DE49BA">
              <w:rPr>
                <w:b/>
              </w:rPr>
              <w:t>12%</w:t>
            </w:r>
          </w:p>
        </w:tc>
        <w:tc>
          <w:tcPr>
            <w:tcW w:w="2664" w:type="dxa"/>
          </w:tcPr>
          <w:p w:rsidR="00E4420D" w:rsidRPr="00DE49BA" w:rsidRDefault="00E4420D" w:rsidP="00856B7C">
            <w:pPr>
              <w:jc w:val="center"/>
            </w:pPr>
            <w:r w:rsidRPr="00DE49BA">
              <w:t>5%</w:t>
            </w:r>
          </w:p>
        </w:tc>
      </w:tr>
      <w:tr w:rsidR="00E4420D" w:rsidRPr="00DE49BA" w:rsidTr="00856B7C">
        <w:tc>
          <w:tcPr>
            <w:tcW w:w="2952" w:type="dxa"/>
          </w:tcPr>
          <w:p w:rsidR="00E4420D" w:rsidRPr="00DE49BA" w:rsidRDefault="00E4420D" w:rsidP="00856B7C">
            <w:r w:rsidRPr="00DE49BA">
              <w:t>Coder 8</w:t>
            </w:r>
          </w:p>
        </w:tc>
        <w:tc>
          <w:tcPr>
            <w:tcW w:w="2952" w:type="dxa"/>
          </w:tcPr>
          <w:p w:rsidR="00E4420D" w:rsidRPr="00DE49BA" w:rsidRDefault="00E4420D" w:rsidP="00856B7C">
            <w:pPr>
              <w:jc w:val="center"/>
            </w:pPr>
            <w:r w:rsidRPr="00DE49BA">
              <w:t>3%</w:t>
            </w:r>
          </w:p>
        </w:tc>
        <w:tc>
          <w:tcPr>
            <w:tcW w:w="2664" w:type="dxa"/>
          </w:tcPr>
          <w:p w:rsidR="00E4420D" w:rsidRPr="00DE49BA" w:rsidRDefault="00E4420D" w:rsidP="00856B7C">
            <w:pPr>
              <w:jc w:val="center"/>
            </w:pPr>
            <w:r w:rsidRPr="00DE49BA">
              <w:t>5%</w:t>
            </w:r>
          </w:p>
        </w:tc>
      </w:tr>
    </w:tbl>
    <w:p w:rsidR="00E4420D" w:rsidRPr="00724F0D" w:rsidRDefault="00E4420D" w:rsidP="00E4420D"/>
    <w:p w:rsidR="00E4420D" w:rsidRPr="00724F0D" w:rsidRDefault="00E4420D" w:rsidP="00E4420D"/>
    <w:tbl>
      <w:tblPr>
        <w:tblW w:w="0" w:type="auto"/>
        <w:tblInd w:w="78" w:type="dxa"/>
        <w:tblLayout w:type="fixed"/>
        <w:tblLook w:val="0000" w:firstRow="0" w:lastRow="0" w:firstColumn="0" w:lastColumn="0" w:noHBand="0" w:noVBand="0"/>
      </w:tblPr>
      <w:tblGrid>
        <w:gridCol w:w="1435"/>
        <w:gridCol w:w="1404"/>
        <w:gridCol w:w="1215"/>
      </w:tblGrid>
      <w:tr w:rsidR="00E4420D" w:rsidRPr="00724F0D" w:rsidTr="00856B7C">
        <w:trPr>
          <w:trHeight w:val="247"/>
        </w:trPr>
        <w:tc>
          <w:tcPr>
            <w:tcW w:w="4054" w:type="dxa"/>
            <w:gridSpan w:val="3"/>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b/>
                <w:bCs/>
                <w:color w:val="000000"/>
              </w:rPr>
            </w:pPr>
            <w:r w:rsidRPr="00724F0D">
              <w:rPr>
                <w:b/>
                <w:bCs/>
                <w:color w:val="000000"/>
              </w:rPr>
              <w:t>Variation Log by MS-DRG*</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b/>
                <w:bCs/>
                <w:color w:val="000000"/>
              </w:rPr>
            </w:pPr>
            <w:r w:rsidRPr="00724F0D">
              <w:rPr>
                <w:b/>
                <w:bCs/>
                <w:color w:val="000000"/>
              </w:rPr>
              <w:lastRenderedPageBreak/>
              <w:t>MS-DRG</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b/>
                <w:bCs/>
                <w:color w:val="000000"/>
              </w:rPr>
            </w:pPr>
            <w:r w:rsidRPr="00724F0D">
              <w:rPr>
                <w:b/>
                <w:bCs/>
                <w:color w:val="000000"/>
              </w:rPr>
              <w:t xml:space="preserve"> Volume </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rPr>
                <w:b/>
                <w:bCs/>
                <w:color w:val="000000"/>
              </w:rPr>
            </w:pPr>
            <w:r w:rsidRPr="00724F0D">
              <w:rPr>
                <w:b/>
                <w:bCs/>
                <w:color w:val="000000"/>
              </w:rPr>
              <w:t>Error Rate</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470</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420</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313</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233</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14%</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392</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232</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1%</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291</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232</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17%</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247</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220</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3%</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292</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216</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5%</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871</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213</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12%</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641</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209</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0%</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194</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195</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3%</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293</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193</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1%</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885</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188</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3%</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312</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177</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0%</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191</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175</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7%</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287</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173</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310</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171</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15%</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689</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157</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11%</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603</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143</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379</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137</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3%</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192</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131</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9%</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683</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116</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11%</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189</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114</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1%</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069</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110</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190</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92</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12%</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lastRenderedPageBreak/>
              <w:t>193</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87</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10%</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690</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76</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4%</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065</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76</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5%</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195</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72</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066</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52</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064</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41</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5%</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906</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35</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w:t>
            </w:r>
          </w:p>
        </w:tc>
      </w:tr>
    </w:tbl>
    <w:p w:rsidR="00E4420D" w:rsidRDefault="00E4420D" w:rsidP="00E4420D">
      <w:pPr>
        <w:ind w:left="720" w:hanging="720"/>
      </w:pPr>
      <w:r w:rsidRPr="00724F0D">
        <w:t>*MS-DRG descriptions provided below</w:t>
      </w:r>
    </w:p>
    <w:p w:rsidR="00E4420D" w:rsidRDefault="00E4420D" w:rsidP="00E4420D">
      <w:pPr>
        <w:ind w:left="720" w:hanging="720"/>
      </w:pPr>
    </w:p>
    <w:p w:rsidR="00E4420D" w:rsidRDefault="00E4420D" w:rsidP="00E4420D">
      <w:pPr>
        <w:ind w:left="720" w:hanging="720"/>
      </w:pPr>
    </w:p>
    <w:p w:rsidR="00E4420D" w:rsidRPr="00724F0D" w:rsidRDefault="00E4420D" w:rsidP="00E4420D">
      <w:pPr>
        <w:ind w:left="720" w:hanging="720"/>
      </w:pPr>
    </w:p>
    <w:p w:rsidR="00E4420D" w:rsidRPr="00724F0D" w:rsidRDefault="00E4420D" w:rsidP="00E4420D">
      <w:pPr>
        <w:pStyle w:val="PlainText"/>
        <w:rPr>
          <w:rFonts w:ascii="Times New Roman" w:eastAsia="MS Mincho" w:hAnsi="Times New Roman" w:cs="Times New Roman"/>
          <w:sz w:val="22"/>
          <w:szCs w:val="22"/>
        </w:rPr>
      </w:pPr>
    </w:p>
    <w:tbl>
      <w:tblPr>
        <w:tblW w:w="0" w:type="auto"/>
        <w:tblInd w:w="78" w:type="dxa"/>
        <w:tblLayout w:type="fixed"/>
        <w:tblLook w:val="0000" w:firstRow="0" w:lastRow="0" w:firstColumn="0" w:lastColumn="0" w:noHBand="0" w:noVBand="0"/>
      </w:tblPr>
      <w:tblGrid>
        <w:gridCol w:w="1435"/>
        <w:gridCol w:w="1404"/>
        <w:gridCol w:w="1215"/>
      </w:tblGrid>
      <w:tr w:rsidR="00E4420D" w:rsidRPr="00724F0D" w:rsidTr="00856B7C">
        <w:trPr>
          <w:trHeight w:val="247"/>
        </w:trPr>
        <w:tc>
          <w:tcPr>
            <w:tcW w:w="4054" w:type="dxa"/>
            <w:gridSpan w:val="3"/>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b/>
                <w:bCs/>
                <w:color w:val="000000"/>
              </w:rPr>
            </w:pPr>
            <w:r w:rsidRPr="00724F0D">
              <w:rPr>
                <w:b/>
                <w:bCs/>
                <w:color w:val="000000"/>
              </w:rPr>
              <w:t>Variation Log by MS-DRG* Set</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MS-DRG Set</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Hospital %</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Nation %</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064</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24.3%</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21.4%</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065</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45.0%</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43.8%</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066</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30.8%</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34.8%</w:t>
            </w:r>
          </w:p>
        </w:tc>
      </w:tr>
      <w:tr w:rsidR="00E4420D" w:rsidRPr="00724F0D" w:rsidTr="00856B7C">
        <w:trPr>
          <w:trHeight w:val="247"/>
        </w:trPr>
        <w:tc>
          <w:tcPr>
            <w:tcW w:w="4054" w:type="dxa"/>
            <w:gridSpan w:val="3"/>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190</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23.1%</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15.2%</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191</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44.0%</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33.5%</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192</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32.9%</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51.3%</w:t>
            </w:r>
          </w:p>
        </w:tc>
      </w:tr>
      <w:tr w:rsidR="00E4420D" w:rsidRPr="00724F0D" w:rsidTr="00856B7C">
        <w:trPr>
          <w:trHeight w:val="247"/>
        </w:trPr>
        <w:tc>
          <w:tcPr>
            <w:tcW w:w="4054" w:type="dxa"/>
            <w:gridSpan w:val="3"/>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193</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24.6%</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17.5%</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194</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55.1%</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54.2%</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195</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20.3%</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28.3%</w:t>
            </w:r>
          </w:p>
        </w:tc>
      </w:tr>
      <w:tr w:rsidR="00E4420D" w:rsidRPr="00724F0D" w:rsidTr="00856B7C">
        <w:trPr>
          <w:trHeight w:val="247"/>
        </w:trPr>
        <w:tc>
          <w:tcPr>
            <w:tcW w:w="4054" w:type="dxa"/>
            <w:gridSpan w:val="3"/>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291</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34.6%</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29.2%</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292</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36.7%</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38.8%</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293</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28.8%</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31.9%</w:t>
            </w:r>
          </w:p>
        </w:tc>
      </w:tr>
      <w:tr w:rsidR="00E4420D" w:rsidRPr="00724F0D" w:rsidTr="00856B7C">
        <w:trPr>
          <w:trHeight w:val="247"/>
        </w:trPr>
        <w:tc>
          <w:tcPr>
            <w:tcW w:w="4054" w:type="dxa"/>
            <w:gridSpan w:val="3"/>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689</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67.4%</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21.7%</w:t>
            </w:r>
          </w:p>
        </w:tc>
      </w:tr>
      <w:tr w:rsidR="00E4420D" w:rsidRPr="00724F0D" w:rsidTr="00856B7C">
        <w:trPr>
          <w:trHeight w:val="247"/>
        </w:trPr>
        <w:tc>
          <w:tcPr>
            <w:tcW w:w="143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center"/>
              <w:rPr>
                <w:color w:val="000000"/>
              </w:rPr>
            </w:pPr>
            <w:r w:rsidRPr="00724F0D">
              <w:rPr>
                <w:color w:val="000000"/>
              </w:rPr>
              <w:t>690</w:t>
            </w:r>
          </w:p>
        </w:tc>
        <w:tc>
          <w:tcPr>
            <w:tcW w:w="1404"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32.6%</w:t>
            </w:r>
          </w:p>
        </w:tc>
        <w:tc>
          <w:tcPr>
            <w:tcW w:w="1215" w:type="dxa"/>
            <w:tcBorders>
              <w:top w:val="single" w:sz="6" w:space="0" w:color="auto"/>
              <w:left w:val="single" w:sz="6" w:space="0" w:color="auto"/>
              <w:bottom w:val="single" w:sz="6" w:space="0" w:color="auto"/>
              <w:right w:val="single" w:sz="6" w:space="0" w:color="auto"/>
            </w:tcBorders>
          </w:tcPr>
          <w:p w:rsidR="00E4420D" w:rsidRPr="00724F0D" w:rsidRDefault="00E4420D" w:rsidP="00856B7C">
            <w:pPr>
              <w:autoSpaceDE w:val="0"/>
              <w:autoSpaceDN w:val="0"/>
              <w:adjustRightInd w:val="0"/>
              <w:jc w:val="right"/>
              <w:rPr>
                <w:color w:val="000000"/>
              </w:rPr>
            </w:pPr>
            <w:r w:rsidRPr="00724F0D">
              <w:rPr>
                <w:color w:val="000000"/>
              </w:rPr>
              <w:t>78.3%</w:t>
            </w:r>
          </w:p>
        </w:tc>
      </w:tr>
    </w:tbl>
    <w:p w:rsidR="00E4420D" w:rsidRPr="00724F0D" w:rsidRDefault="00E4420D" w:rsidP="00E4420D">
      <w:r w:rsidRPr="00724F0D">
        <w:t>*MS-DRG descriptions provided below</w:t>
      </w:r>
    </w:p>
    <w:p w:rsidR="00E4420D" w:rsidRPr="00724F0D" w:rsidRDefault="00E4420D" w:rsidP="00E4420D">
      <w:pPr>
        <w:pStyle w:val="PlainText"/>
        <w:rPr>
          <w:rFonts w:ascii="Times New Roman" w:eastAsia="MS Mincho" w:hAnsi="Times New Roman" w:cs="Times New Roman"/>
          <w:sz w:val="22"/>
          <w:szCs w:val="22"/>
        </w:rPr>
      </w:pPr>
    </w:p>
    <w:tbl>
      <w:tblPr>
        <w:tblW w:w="0" w:type="auto"/>
        <w:tblInd w:w="78" w:type="dxa"/>
        <w:tblLayout w:type="fixed"/>
        <w:tblLook w:val="0000" w:firstRow="0" w:lastRow="0" w:firstColumn="0" w:lastColumn="0" w:noHBand="0" w:noVBand="0"/>
      </w:tblPr>
      <w:tblGrid>
        <w:gridCol w:w="1466"/>
        <w:gridCol w:w="6672"/>
      </w:tblGrid>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b/>
                <w:bCs/>
                <w:color w:val="000000"/>
              </w:rPr>
            </w:pPr>
            <w:r w:rsidRPr="00724F0D">
              <w:rPr>
                <w:b/>
                <w:bCs/>
                <w:color w:val="000000"/>
              </w:rPr>
              <w:t>MS-DRG</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b/>
                <w:bCs/>
                <w:color w:val="000000"/>
              </w:rPr>
            </w:pPr>
            <w:r w:rsidRPr="00724F0D">
              <w:rPr>
                <w:b/>
                <w:bCs/>
                <w:color w:val="000000"/>
              </w:rPr>
              <w:t>MS-DRG Title (FY 2008)</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064</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Intracranial hemorrhage or cerebral infarction w 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065</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Intracranial hemorrhage or cerebral infarction w 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066</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Intracranial hemorrhage or cerebral infarction w/o CC/MCC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069</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Transient ischemia</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189</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Pulmonary edema &amp; respiratory failure</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190</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Chronic obstructive pulmonary disease w 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191</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Chronic obstructive pulmonary disease w 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192</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Chronic obstructive pulmonary disease w/o CC/MCC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193</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Simple pneumonia &amp; pleurisy w 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194</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Simple pneumonia &amp; pleurisy w 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195</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Simple pneumonia &amp; pleurisy w/o CC/MCC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247</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proofErr w:type="spellStart"/>
            <w:r w:rsidRPr="00724F0D">
              <w:rPr>
                <w:color w:val="000000"/>
              </w:rPr>
              <w:t>Perc</w:t>
            </w:r>
            <w:proofErr w:type="spellEnd"/>
            <w:r w:rsidRPr="00724F0D">
              <w:rPr>
                <w:color w:val="000000"/>
              </w:rPr>
              <w:t xml:space="preserve"> </w:t>
            </w:r>
            <w:proofErr w:type="spellStart"/>
            <w:r w:rsidRPr="00724F0D">
              <w:rPr>
                <w:color w:val="000000"/>
              </w:rPr>
              <w:t>cardiovasc</w:t>
            </w:r>
            <w:proofErr w:type="spellEnd"/>
            <w:r w:rsidRPr="00724F0D">
              <w:rPr>
                <w:color w:val="000000"/>
              </w:rPr>
              <w:t xml:space="preserve"> </w:t>
            </w:r>
            <w:proofErr w:type="spellStart"/>
            <w:r w:rsidRPr="00724F0D">
              <w:rPr>
                <w:color w:val="000000"/>
              </w:rPr>
              <w:t>proc</w:t>
            </w:r>
            <w:proofErr w:type="spellEnd"/>
            <w:r w:rsidRPr="00724F0D">
              <w:rPr>
                <w:color w:val="000000"/>
              </w:rPr>
              <w:t xml:space="preserve"> w drug-eluting stent w/o 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287</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 xml:space="preserve">Circulatory disorders except AMI, w card </w:t>
            </w:r>
            <w:proofErr w:type="spellStart"/>
            <w:r w:rsidRPr="00724F0D">
              <w:rPr>
                <w:color w:val="000000"/>
              </w:rPr>
              <w:t>cath</w:t>
            </w:r>
            <w:proofErr w:type="spellEnd"/>
            <w:r w:rsidRPr="00724F0D">
              <w:rPr>
                <w:color w:val="000000"/>
              </w:rPr>
              <w:t xml:space="preserve"> w/o 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291</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Heart failure &amp; shock w 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292</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Heart failure &amp; shock w 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lastRenderedPageBreak/>
              <w:t>293</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Heart failure &amp; shock w/o CC/MCC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310</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Cardiac arrhythmia &amp; conduction disorders w/o CC/MCC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312</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Syncope &amp; collapse</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313</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Chest pain</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379</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G.I. hemorrhage w/o CC/MCC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392</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 xml:space="preserve">Esophagitis, </w:t>
            </w:r>
            <w:proofErr w:type="spellStart"/>
            <w:r w:rsidRPr="00724F0D">
              <w:rPr>
                <w:color w:val="000000"/>
              </w:rPr>
              <w:t>gastroent</w:t>
            </w:r>
            <w:proofErr w:type="spellEnd"/>
            <w:r w:rsidRPr="00724F0D">
              <w:rPr>
                <w:color w:val="000000"/>
              </w:rPr>
              <w:t xml:space="preserve"> &amp; </w:t>
            </w:r>
            <w:proofErr w:type="spellStart"/>
            <w:r w:rsidRPr="00724F0D">
              <w:rPr>
                <w:color w:val="000000"/>
              </w:rPr>
              <w:t>misc</w:t>
            </w:r>
            <w:proofErr w:type="spellEnd"/>
            <w:r w:rsidRPr="00724F0D">
              <w:rPr>
                <w:color w:val="000000"/>
              </w:rPr>
              <w:t xml:space="preserve"> digest disorders w/o 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470</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Major joint replacement or reattachment of lower extremity w/o 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603</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Cellulitis w/o 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641</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 xml:space="preserve">Nutritional &amp; </w:t>
            </w:r>
            <w:proofErr w:type="spellStart"/>
            <w:r w:rsidRPr="00724F0D">
              <w:rPr>
                <w:color w:val="000000"/>
              </w:rPr>
              <w:t>misc</w:t>
            </w:r>
            <w:proofErr w:type="spellEnd"/>
            <w:r w:rsidRPr="00724F0D">
              <w:rPr>
                <w:color w:val="000000"/>
              </w:rPr>
              <w:t xml:space="preserve"> metabolic disorders w/o 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683</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Renal failure w 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689</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Kidney &amp; urinary tract infections w/ 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690</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Kidney &amp; urinary tract infections w/o 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871</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Septicemia w/o MV 96+ hours w MCC</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885</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Psychoses</w:t>
            </w:r>
          </w:p>
        </w:tc>
      </w:tr>
      <w:tr w:rsidR="00E4420D" w:rsidRPr="00724F0D" w:rsidTr="00856B7C">
        <w:trPr>
          <w:trHeight w:val="247"/>
        </w:trPr>
        <w:tc>
          <w:tcPr>
            <w:tcW w:w="1466"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jc w:val="center"/>
              <w:rPr>
                <w:color w:val="000000"/>
              </w:rPr>
            </w:pPr>
            <w:r w:rsidRPr="00724F0D">
              <w:rPr>
                <w:color w:val="000000"/>
              </w:rPr>
              <w:t>906</w:t>
            </w:r>
          </w:p>
        </w:tc>
        <w:tc>
          <w:tcPr>
            <w:tcW w:w="6672" w:type="dxa"/>
            <w:tcBorders>
              <w:top w:val="single" w:sz="6" w:space="0" w:color="000000"/>
              <w:left w:val="single" w:sz="6" w:space="0" w:color="000000"/>
              <w:bottom w:val="single" w:sz="6" w:space="0" w:color="000000"/>
              <w:right w:val="single" w:sz="6" w:space="0" w:color="000000"/>
            </w:tcBorders>
          </w:tcPr>
          <w:p w:rsidR="00E4420D" w:rsidRPr="00724F0D" w:rsidRDefault="00E4420D" w:rsidP="00856B7C">
            <w:pPr>
              <w:autoSpaceDE w:val="0"/>
              <w:autoSpaceDN w:val="0"/>
              <w:adjustRightInd w:val="0"/>
              <w:rPr>
                <w:color w:val="000000"/>
              </w:rPr>
            </w:pPr>
            <w:r w:rsidRPr="00724F0D">
              <w:rPr>
                <w:color w:val="000000"/>
              </w:rPr>
              <w:t>Hand procedures for injuries</w:t>
            </w:r>
          </w:p>
        </w:tc>
      </w:tr>
    </w:tbl>
    <w:p w:rsidR="00956C1E" w:rsidRDefault="00E4420D">
      <w:bookmarkStart w:id="0" w:name="_GoBack"/>
      <w:bookmarkEnd w:id="0"/>
    </w:p>
    <w:sectPr w:rsidR="00956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72E4"/>
    <w:multiLevelType w:val="hybridMultilevel"/>
    <w:tmpl w:val="AA32AE98"/>
    <w:lvl w:ilvl="0" w:tplc="63DC47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AE4046"/>
    <w:multiLevelType w:val="hybridMultilevel"/>
    <w:tmpl w:val="8D8E1BAC"/>
    <w:lvl w:ilvl="0" w:tplc="1B3AFCD2">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0D"/>
    <w:rsid w:val="001552A8"/>
    <w:rsid w:val="002C4A7E"/>
    <w:rsid w:val="00E442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6DA81-FF37-42B3-B06A-A5F9C2CD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4420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4420D"/>
    <w:rPr>
      <w:rFonts w:ascii="Courier New" w:eastAsia="Times New Roman" w:hAnsi="Courier New" w:cs="Courier New"/>
      <w:sz w:val="20"/>
      <w:szCs w:val="20"/>
    </w:rPr>
  </w:style>
  <w:style w:type="paragraph" w:styleId="ListParagraph">
    <w:name w:val="List Paragraph"/>
    <w:basedOn w:val="Normal"/>
    <w:uiPriority w:val="34"/>
    <w:qFormat/>
    <w:rsid w:val="00E44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dc:creator>
  <cp:keywords/>
  <dc:description/>
  <cp:lastModifiedBy>a m</cp:lastModifiedBy>
  <cp:revision>1</cp:revision>
  <dcterms:created xsi:type="dcterms:W3CDTF">2015-09-12T15:09:00Z</dcterms:created>
  <dcterms:modified xsi:type="dcterms:W3CDTF">2015-09-12T15:10:00Z</dcterms:modified>
</cp:coreProperties>
</file>